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AF" w:rsidRPr="003C7B5F" w:rsidRDefault="008B0FAF" w:rsidP="008B0FAF">
      <w:pPr>
        <w:spacing w:after="0" w:line="360" w:lineRule="auto"/>
        <w:ind w:left="142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Tema III: Vulvovaginitis en la infancia. Su manejo en la atención primaria. Las infecciones genitales en las diferentes etapas de la vida: prevención y conducta terapéutica: ITS</w:t>
      </w:r>
    </w:p>
    <w:p w:rsidR="008B0FAF" w:rsidRPr="003C7B5F" w:rsidRDefault="008B0FAF" w:rsidP="008B0FAF">
      <w:pPr>
        <w:spacing w:after="0" w:line="360" w:lineRule="auto"/>
        <w:ind w:left="142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Objetivo:</w:t>
      </w:r>
    </w:p>
    <w:p w:rsidR="008B0FAF" w:rsidRPr="003C7B5F" w:rsidRDefault="008B0FAF" w:rsidP="008B0FAF">
      <w:pPr>
        <w:spacing w:after="0" w:line="360" w:lineRule="auto"/>
        <w:ind w:left="153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3C7B5F">
        <w:rPr>
          <w:rFonts w:ascii="Arial" w:eastAsia="Times New Roman" w:hAnsi="Arial" w:cs="Arial"/>
          <w:iCs/>
          <w:sz w:val="24"/>
          <w:szCs w:val="24"/>
          <w:lang w:eastAsia="es-ES"/>
        </w:rPr>
        <w:t>Brindar elementos fundamentales para identificar y prevenir las conductas sexuales de riesgo y su impacto en la salud sexual y reproductiva.</w:t>
      </w:r>
    </w:p>
    <w:p w:rsidR="008B0FAF" w:rsidRPr="003C7B5F" w:rsidRDefault="008B0FAF" w:rsidP="008B0FAF">
      <w:pPr>
        <w:spacing w:after="0" w:line="360" w:lineRule="auto"/>
        <w:ind w:left="153"/>
        <w:rPr>
          <w:rFonts w:ascii="Arial" w:eastAsia="Times New Roman" w:hAnsi="Arial" w:cs="Arial"/>
          <w:b/>
          <w:iCs/>
          <w:sz w:val="24"/>
          <w:szCs w:val="24"/>
          <w:lang w:eastAsia="es-ES"/>
        </w:rPr>
      </w:pPr>
      <w:r w:rsidRPr="003C7B5F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Contenidos:</w:t>
      </w:r>
    </w:p>
    <w:p w:rsidR="008B0FAF" w:rsidRPr="003C7B5F" w:rsidRDefault="008B0FAF" w:rsidP="008B0F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>Vulvovaginitis en la infancia. Características de la vagina de la niña</w:t>
      </w:r>
    </w:p>
    <w:p w:rsidR="008B0FAF" w:rsidRPr="003C7B5F" w:rsidRDefault="008B0FAF" w:rsidP="008B0F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>Condiciones que favorecen la infección de vulva y vagina.</w:t>
      </w:r>
    </w:p>
    <w:p w:rsidR="008B0FAF" w:rsidRPr="003C7B5F" w:rsidRDefault="008B0FAF" w:rsidP="008B0F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Causas de Vulvovaginitis en edad pediátrica. </w:t>
      </w:r>
    </w:p>
    <w:p w:rsidR="008B0FAF" w:rsidRPr="003C7B5F" w:rsidRDefault="008B0FAF" w:rsidP="008B0F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Manejo de </w:t>
      </w:r>
      <w:smartTag w:uri="urn:schemas-microsoft-com:office:smarttags" w:element="PersonName">
        <w:smartTagPr>
          <w:attr w:name="ProductID" w:val="la Vulvovaginitis"/>
        </w:smartTagPr>
        <w:r w:rsidRPr="003C7B5F">
          <w:rPr>
            <w:rFonts w:ascii="Arial" w:eastAsia="Times New Roman" w:hAnsi="Arial" w:cs="Arial"/>
            <w:sz w:val="24"/>
            <w:szCs w:val="24"/>
            <w:lang w:val="es-ES_tradnl" w:eastAsia="es-ES"/>
          </w:rPr>
          <w:t>la Vulvovaginitis</w:t>
        </w:r>
      </w:smartTag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infantil en la atención primaria.</w:t>
      </w:r>
      <w:bookmarkStart w:id="0" w:name="_GoBack"/>
      <w:bookmarkEnd w:id="0"/>
    </w:p>
    <w:p w:rsidR="008B0FAF" w:rsidRPr="003C7B5F" w:rsidRDefault="008B0FAF" w:rsidP="008B0FA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iCs/>
          <w:lang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Las infecciones genitales en la adolescencia. </w:t>
      </w:r>
      <w:r w:rsidRPr="003C7B5F">
        <w:rPr>
          <w:rFonts w:ascii="Arial" w:eastAsia="Times New Roman" w:hAnsi="Arial" w:cs="Arial"/>
          <w:iCs/>
          <w:sz w:val="24"/>
          <w:szCs w:val="24"/>
          <w:lang w:eastAsia="es-ES"/>
        </w:rPr>
        <w:t>Enfermedad inflamatoria pélvica.</w:t>
      </w:r>
      <w:r w:rsidRPr="003C7B5F">
        <w:rPr>
          <w:rFonts w:ascii="Arial" w:eastAsia="Times New Roman" w:hAnsi="Arial" w:cs="Arial"/>
          <w:i/>
          <w:iCs/>
          <w:lang w:eastAsia="es-ES"/>
        </w:rPr>
        <w:t xml:space="preserve"> </w:t>
      </w: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>Tratamiento según estadios clínicos de la      enfermedad</w:t>
      </w:r>
    </w:p>
    <w:p w:rsidR="008B0FAF" w:rsidRPr="003C7B5F" w:rsidRDefault="008B0FAF" w:rsidP="008B0FAF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Secuelas: Infertilidad tubo peritoneal, Embarazo Ectópico, Dolor  </w:t>
      </w:r>
    </w:p>
    <w:p w:rsidR="008B0FAF" w:rsidRPr="003C7B5F" w:rsidRDefault="008B0FAF" w:rsidP="008B0FAF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  </w:t>
      </w:r>
      <w:proofErr w:type="gramStart"/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>pelviano</w:t>
      </w:r>
      <w:proofErr w:type="gramEnd"/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crónico. Clamidia, principal causa.</w:t>
      </w:r>
    </w:p>
    <w:p w:rsidR="008B0FAF" w:rsidRPr="003C7B5F" w:rsidRDefault="008B0FAF" w:rsidP="008B0F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>Características de la vagina y el cérvix en la adolescencia</w:t>
      </w:r>
    </w:p>
    <w:p w:rsidR="008B0FAF" w:rsidRPr="00640B25" w:rsidRDefault="008B0FAF" w:rsidP="008B0F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Vulvovaginitis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</w:t>
      </w: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>adolescente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s </w:t>
      </w:r>
      <w:r w:rsidRPr="00640B25">
        <w:rPr>
          <w:rFonts w:ascii="Arial" w:eastAsia="Times New Roman" w:hAnsi="Arial" w:cs="Arial"/>
          <w:sz w:val="24"/>
          <w:szCs w:val="24"/>
          <w:lang w:val="es-ES_tradnl" w:eastAsia="es-ES"/>
        </w:rPr>
        <w:t>y en la edad mediana y la posmenopausia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8B0FAF" w:rsidRPr="003C7B5F" w:rsidRDefault="008B0FAF" w:rsidP="008B0F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>ITS m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ás comunes en la adolescencia </w:t>
      </w:r>
      <w:r w:rsidRPr="00640B25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y en la edad mediana. </w:t>
      </w: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>Condiciones anatómicas y fisiológicas favorables para adquirir la enfermedad. Su manejo. Identificación de los factores de riesgo</w:t>
      </w:r>
    </w:p>
    <w:p w:rsidR="008B0FAF" w:rsidRPr="003C7B5F" w:rsidRDefault="008B0FAF" w:rsidP="008B0FA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3C7B5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Incidencia global del VIH/SIDA. </w:t>
      </w:r>
    </w:p>
    <w:p w:rsidR="003C28F2" w:rsidRDefault="003C28F2"/>
    <w:p w:rsidR="003C28F2" w:rsidRPr="00821EB5" w:rsidRDefault="003C28F2">
      <w:pPr>
        <w:rPr>
          <w:rFonts w:ascii="Arial" w:hAnsi="Arial" w:cs="Arial"/>
          <w:b/>
          <w:i/>
          <w:sz w:val="24"/>
          <w:szCs w:val="24"/>
        </w:rPr>
      </w:pPr>
      <w:r w:rsidRPr="00821EB5">
        <w:rPr>
          <w:rFonts w:ascii="Arial" w:hAnsi="Arial" w:cs="Arial"/>
          <w:b/>
          <w:i/>
          <w:sz w:val="24"/>
          <w:szCs w:val="24"/>
        </w:rPr>
        <w:t>Desarrollo</w:t>
      </w:r>
    </w:p>
    <w:p w:rsidR="00821EB5" w:rsidRDefault="00821EB5" w:rsidP="00821EB5">
      <w:pPr>
        <w:rPr>
          <w:rFonts w:ascii="Arial" w:hAnsi="Arial" w:cs="Arial"/>
          <w:sz w:val="24"/>
          <w:szCs w:val="24"/>
        </w:rPr>
      </w:pPr>
      <w:r w:rsidRPr="00821EB5">
        <w:rPr>
          <w:rFonts w:ascii="Arial" w:hAnsi="Arial" w:cs="Arial"/>
          <w:sz w:val="24"/>
          <w:szCs w:val="24"/>
        </w:rPr>
        <w:t>Las afecciones de los</w:t>
      </w:r>
      <w:r>
        <w:rPr>
          <w:rFonts w:ascii="Arial" w:hAnsi="Arial" w:cs="Arial"/>
          <w:sz w:val="24"/>
          <w:szCs w:val="24"/>
        </w:rPr>
        <w:t xml:space="preserve"> genitales externos constituyen </w:t>
      </w:r>
      <w:r w:rsidRPr="00821EB5">
        <w:rPr>
          <w:rFonts w:ascii="Arial" w:hAnsi="Arial" w:cs="Arial"/>
          <w:sz w:val="24"/>
          <w:szCs w:val="24"/>
        </w:rPr>
        <w:t>una causa frecuent</w:t>
      </w:r>
      <w:r>
        <w:rPr>
          <w:rFonts w:ascii="Arial" w:hAnsi="Arial" w:cs="Arial"/>
          <w:sz w:val="24"/>
          <w:szCs w:val="24"/>
        </w:rPr>
        <w:t xml:space="preserve">e de consulta ginecológica, por </w:t>
      </w:r>
      <w:r w:rsidRPr="00821EB5">
        <w:rPr>
          <w:rFonts w:ascii="Arial" w:hAnsi="Arial" w:cs="Arial"/>
          <w:sz w:val="24"/>
          <w:szCs w:val="24"/>
        </w:rPr>
        <w:t>lo que es recomendab</w:t>
      </w:r>
      <w:r>
        <w:rPr>
          <w:rFonts w:ascii="Arial" w:hAnsi="Arial" w:cs="Arial"/>
          <w:sz w:val="24"/>
          <w:szCs w:val="24"/>
        </w:rPr>
        <w:t xml:space="preserve">le establecer una clasificación </w:t>
      </w:r>
      <w:r w:rsidRPr="00821EB5">
        <w:rPr>
          <w:rFonts w:ascii="Arial" w:hAnsi="Arial" w:cs="Arial"/>
          <w:sz w:val="24"/>
          <w:szCs w:val="24"/>
        </w:rPr>
        <w:t>general de dichas afeccion</w:t>
      </w:r>
      <w:r>
        <w:rPr>
          <w:rFonts w:ascii="Arial" w:hAnsi="Arial" w:cs="Arial"/>
          <w:sz w:val="24"/>
          <w:szCs w:val="24"/>
        </w:rPr>
        <w:t xml:space="preserve">es y detallar las que presenten </w:t>
      </w:r>
      <w:r w:rsidRPr="00821EB5">
        <w:rPr>
          <w:rFonts w:ascii="Arial" w:hAnsi="Arial" w:cs="Arial"/>
          <w:sz w:val="24"/>
          <w:szCs w:val="24"/>
        </w:rPr>
        <w:t>una mayor incidencia en nuestro país.</w:t>
      </w:r>
    </w:p>
    <w:p w:rsidR="00821EB5" w:rsidRPr="00821EB5" w:rsidRDefault="00821EB5" w:rsidP="00821EB5">
      <w:pPr>
        <w:pStyle w:val="Sinespaciado"/>
        <w:rPr>
          <w:rFonts w:ascii="Arial" w:hAnsi="Arial" w:cs="Arial"/>
          <w:b/>
          <w:i/>
          <w:sz w:val="24"/>
          <w:szCs w:val="24"/>
          <w:lang w:val="es-EC"/>
        </w:rPr>
      </w:pPr>
      <w:r w:rsidRPr="00821EB5">
        <w:rPr>
          <w:rFonts w:ascii="Arial" w:hAnsi="Arial" w:cs="Arial"/>
          <w:b/>
          <w:i/>
          <w:sz w:val="24"/>
          <w:szCs w:val="24"/>
          <w:lang w:val="es-EC"/>
        </w:rPr>
        <w:t>Vulvovaginitis:</w:t>
      </w:r>
    </w:p>
    <w:p w:rsidR="00821EB5" w:rsidRPr="00821EB5" w:rsidRDefault="00821EB5" w:rsidP="00821EB5">
      <w:pPr>
        <w:pStyle w:val="Sinespaciado"/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a) Monilias.</w:t>
      </w:r>
    </w:p>
    <w:p w:rsidR="00821EB5" w:rsidRPr="00821EB5" w:rsidRDefault="00821EB5" w:rsidP="00821EB5">
      <w:pPr>
        <w:pStyle w:val="Sinespaciado"/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b)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Trichomonas.</w:t>
      </w:r>
    </w:p>
    <w:p w:rsidR="00821EB5" w:rsidRPr="00821EB5" w:rsidRDefault="00821EB5" w:rsidP="00821EB5">
      <w:pPr>
        <w:pStyle w:val="Sinespaciado"/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c) Gardnerella.</w:t>
      </w:r>
    </w:p>
    <w:p w:rsidR="00821EB5" w:rsidRPr="00821EB5" w:rsidRDefault="00821EB5" w:rsidP="00821EB5">
      <w:pPr>
        <w:pStyle w:val="Sinespaciado"/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d) Gonorrea.</w:t>
      </w:r>
    </w:p>
    <w:p w:rsidR="00821EB5" w:rsidRPr="00821EB5" w:rsidRDefault="00821EB5" w:rsidP="00821EB5">
      <w:pPr>
        <w:pStyle w:val="Sinespaciado"/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e) Clamidia.</w:t>
      </w:r>
    </w:p>
    <w:p w:rsidR="00821EB5" w:rsidRPr="00821EB5" w:rsidRDefault="00821EB5" w:rsidP="00821EB5">
      <w:pPr>
        <w:pStyle w:val="Sinespaciado"/>
        <w:rPr>
          <w:rFonts w:ascii="Arial" w:hAnsi="Arial" w:cs="Arial"/>
          <w:sz w:val="24"/>
          <w:szCs w:val="24"/>
        </w:rPr>
      </w:pPr>
      <w:r w:rsidRPr="00821EB5">
        <w:rPr>
          <w:rFonts w:ascii="Arial" w:hAnsi="Arial" w:cs="Arial"/>
          <w:sz w:val="24"/>
          <w:szCs w:val="24"/>
          <w:lang w:val="es-EC"/>
        </w:rPr>
        <w:t>f) Otras (cuerpo extraño, hipoestronismo y banal).</w:t>
      </w:r>
    </w:p>
    <w:p w:rsidR="00821EB5" w:rsidRDefault="00821EB5">
      <w:pPr>
        <w:rPr>
          <w:rFonts w:ascii="Arial" w:hAnsi="Arial" w:cs="Arial"/>
          <w:sz w:val="24"/>
          <w:szCs w:val="24"/>
        </w:rPr>
      </w:pPr>
    </w:p>
    <w:p w:rsidR="00851200" w:rsidRPr="00851200" w:rsidRDefault="00851200" w:rsidP="008512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iCs/>
          <w:lang w:eastAsia="es-ES"/>
        </w:rPr>
      </w:pPr>
      <w:r w:rsidRPr="00851200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Las infecciones genitales en la adolescencia. </w:t>
      </w:r>
      <w:r w:rsidRPr="008512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Enfermedad inflamatoria pélvica.</w:t>
      </w:r>
      <w:r w:rsidRPr="00851200">
        <w:rPr>
          <w:rFonts w:ascii="Arial" w:eastAsia="Times New Roman" w:hAnsi="Arial" w:cs="Arial"/>
          <w:b/>
          <w:i/>
          <w:iCs/>
          <w:lang w:eastAsia="es-ES"/>
        </w:rPr>
        <w:t xml:space="preserve"> </w:t>
      </w:r>
      <w:r w:rsidRPr="00851200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>Tratamiento según estadios clínicos de la      enfermedad</w:t>
      </w:r>
    </w:p>
    <w:p w:rsidR="00851200" w:rsidRPr="00851200" w:rsidRDefault="00851200" w:rsidP="00851200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r w:rsidRPr="00851200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Secuelas: Infertilidad tubo peritoneal, Embarazo Ectópico, Dolor  </w:t>
      </w:r>
    </w:p>
    <w:p w:rsidR="00851200" w:rsidRPr="00851200" w:rsidRDefault="00851200" w:rsidP="0085120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  <w:r w:rsidRPr="00851200"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  <w:t xml:space="preserve">     pelviano crónico. Clamidia, principal causa.</w:t>
      </w:r>
    </w:p>
    <w:p w:rsidR="00821EB5" w:rsidRPr="00851200" w:rsidRDefault="00821EB5" w:rsidP="00821EB5">
      <w:pPr>
        <w:spacing w:after="0" w:line="240" w:lineRule="auto"/>
        <w:ind w:left="720"/>
        <w:rPr>
          <w:rFonts w:ascii="Arial" w:eastAsia="Times New Roman" w:hAnsi="Arial" w:cs="Arial"/>
          <w:b/>
          <w:i/>
          <w:sz w:val="24"/>
          <w:szCs w:val="24"/>
          <w:lang w:val="es-ES_tradnl" w:eastAsia="es-ES"/>
        </w:rPr>
      </w:pPr>
    </w:p>
    <w:p w:rsidR="00821EB5" w:rsidRPr="00821EB5" w:rsidRDefault="00821EB5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21EB5">
        <w:rPr>
          <w:rFonts w:ascii="Arial" w:hAnsi="Arial" w:cs="Arial"/>
          <w:b/>
          <w:bCs/>
          <w:sz w:val="24"/>
          <w:szCs w:val="24"/>
          <w:lang w:val="es-EC"/>
        </w:rPr>
        <w:t>VULVOVAGINITIS</w:t>
      </w:r>
    </w:p>
    <w:p w:rsidR="003C28F2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lastRenderedPageBreak/>
        <w:t>Se estudian juntas porque en general la colpitis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afecta la vulva.</w:t>
      </w:r>
    </w:p>
    <w:p w:rsidR="00821EB5" w:rsidRDefault="00821EB5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</w:p>
    <w:p w:rsidR="00821EB5" w:rsidRPr="00821EB5" w:rsidRDefault="00821EB5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21EB5">
        <w:rPr>
          <w:rFonts w:ascii="Arial" w:hAnsi="Arial" w:cs="Arial"/>
          <w:b/>
          <w:bCs/>
          <w:sz w:val="24"/>
          <w:szCs w:val="24"/>
          <w:lang w:val="es-EC"/>
        </w:rPr>
        <w:t>MONILIASIS</w:t>
      </w:r>
    </w:p>
    <w:p w:rsidR="00821EB5" w:rsidRPr="00821EB5" w:rsidRDefault="00821EB5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21EB5">
        <w:rPr>
          <w:rFonts w:ascii="Arial" w:hAnsi="Arial" w:cs="Arial"/>
          <w:b/>
          <w:bCs/>
          <w:sz w:val="24"/>
          <w:szCs w:val="24"/>
          <w:lang w:val="es-EC"/>
        </w:rPr>
        <w:t>ETIOLOGÍA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 xml:space="preserve">Es producida por </w:t>
      </w:r>
      <w:r w:rsidRPr="00821EB5">
        <w:rPr>
          <w:rFonts w:ascii="Arial" w:hAnsi="Arial" w:cs="Arial"/>
          <w:i/>
          <w:iCs/>
          <w:sz w:val="24"/>
          <w:szCs w:val="24"/>
          <w:lang w:val="es-EC"/>
        </w:rPr>
        <w:t>Candida albicans</w:t>
      </w:r>
      <w:r w:rsidRPr="00821EB5">
        <w:rPr>
          <w:rFonts w:ascii="Arial" w:hAnsi="Arial" w:cs="Arial"/>
          <w:sz w:val="24"/>
          <w:szCs w:val="24"/>
          <w:lang w:val="es-EC"/>
        </w:rPr>
        <w:t>, pequeño hongo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grampositivo que desarrolla filamentos (seudomicelios),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crecen en carbohidratos y prefieren los ácidos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(pH entre 5,0 a 6,5).</w:t>
      </w:r>
    </w:p>
    <w:p w:rsidR="00821EB5" w:rsidRPr="00821EB5" w:rsidRDefault="00821EB5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21EB5">
        <w:rPr>
          <w:rFonts w:ascii="Arial" w:hAnsi="Arial" w:cs="Arial"/>
          <w:b/>
          <w:bCs/>
          <w:sz w:val="24"/>
          <w:szCs w:val="24"/>
          <w:lang w:val="es-EC"/>
        </w:rPr>
        <w:t>FRECUENCIA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Representa entre 20 a 25 % de las infecciones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vulvovaginales. Es más frecuente en el embarazo, uso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de contraceptivos orales, pacientes diabéticas, con el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uso de antibiótico y en las obesas.</w:t>
      </w:r>
    </w:p>
    <w:p w:rsidR="00821EB5" w:rsidRPr="00821EB5" w:rsidRDefault="00821EB5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21EB5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Se manifiesta, sobre todo, con prurito vaginal y preferentemente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vulvar, flujo blanco, espeso, grumoso, que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tiende a formar placas ligeramente adheridas a la pared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vaginal las cuales al desprenderse dejan manchas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hemorrágicas múltiples, irritación local, gran enrojecimiento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vulvovaginales y dispareunia (fig. 27.1 y 27.2).</w:t>
      </w:r>
    </w:p>
    <w:p w:rsidR="00821EB5" w:rsidRPr="00821EB5" w:rsidRDefault="00821EB5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21EB5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El diagnóstico positivo se hace por examen microscópico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de los hongos, se prepara una extensión del exudado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y se colorea con Gram. Los hongos aparecen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como hebras filiformes llamadas micelios, a las cuales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van unidos pequeños botones o conidios. Puede cultivarse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el germen en medio de Sabouraud o de Nickerson.</w:t>
      </w:r>
    </w:p>
    <w:p w:rsid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noProof/>
          <w:sz w:val="24"/>
          <w:szCs w:val="24"/>
          <w:lang w:val="es-EC" w:eastAsia="es-EC"/>
        </w:rPr>
        <w:drawing>
          <wp:inline distT="0" distB="0" distL="0" distR="0">
            <wp:extent cx="2238375" cy="23717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Las principales formas de infección son a través</w:t>
      </w:r>
      <w:r w:rsidR="009D709E"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de manos, toallas, coito, ropa, agua de baño y otros</w:t>
      </w:r>
      <w:r w:rsidR="009D709E"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utensilios.</w:t>
      </w:r>
    </w:p>
    <w:p w:rsidR="009D709E" w:rsidRDefault="009D709E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</w:p>
    <w:p w:rsidR="009D709E" w:rsidRDefault="009D709E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</w:p>
    <w:p w:rsidR="009D709E" w:rsidRDefault="009D709E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</w:p>
    <w:p w:rsidR="00821EB5" w:rsidRPr="00821EB5" w:rsidRDefault="00821EB5" w:rsidP="00821EB5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21EB5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Se pueden emplear los medicamentos siguientes: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1. Nistatina: 1 tableta vaginal 2 veces/día por 10 días.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 xml:space="preserve">2. Nistatina en crema: 2 veces al día </w:t>
      </w:r>
      <w:r w:rsidR="009D709E" w:rsidRPr="00821EB5">
        <w:rPr>
          <w:rFonts w:ascii="Arial" w:hAnsi="Arial" w:cs="Arial"/>
          <w:sz w:val="24"/>
          <w:szCs w:val="24"/>
          <w:lang w:val="es-EC"/>
        </w:rPr>
        <w:t>aplicado</w:t>
      </w:r>
      <w:r w:rsidRPr="00821EB5">
        <w:rPr>
          <w:rFonts w:ascii="Arial" w:hAnsi="Arial" w:cs="Arial"/>
          <w:sz w:val="24"/>
          <w:szCs w:val="24"/>
          <w:lang w:val="es-EC"/>
        </w:rPr>
        <w:t xml:space="preserve"> en la</w:t>
      </w:r>
      <w:r w:rsidR="009D709E"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vulva.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 xml:space="preserve">3. Derivados del </w:t>
      </w:r>
      <w:proofErr w:type="spellStart"/>
      <w:r w:rsidRPr="00821EB5">
        <w:rPr>
          <w:rFonts w:ascii="Arial" w:hAnsi="Arial" w:cs="Arial"/>
          <w:sz w:val="24"/>
          <w:szCs w:val="24"/>
          <w:lang w:val="es-EC"/>
        </w:rPr>
        <w:t>imidazol</w:t>
      </w:r>
      <w:proofErr w:type="spellEnd"/>
      <w:r w:rsidRPr="00821EB5">
        <w:rPr>
          <w:rFonts w:ascii="Arial" w:hAnsi="Arial" w:cs="Arial"/>
          <w:sz w:val="24"/>
          <w:szCs w:val="24"/>
          <w:lang w:val="es-EC"/>
        </w:rPr>
        <w:t xml:space="preserve"> como: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a) Clotrimazol: 1 óvulo vaginal cada 12 horas de 7 a</w:t>
      </w:r>
      <w:r w:rsidR="009D709E"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 xml:space="preserve">10 días y </w:t>
      </w:r>
      <w:r w:rsidR="009D709E" w:rsidRPr="00821EB5">
        <w:rPr>
          <w:rFonts w:ascii="Arial" w:hAnsi="Arial" w:cs="Arial"/>
          <w:sz w:val="24"/>
          <w:szCs w:val="24"/>
          <w:lang w:val="es-EC"/>
        </w:rPr>
        <w:t>Clotrimazol</w:t>
      </w:r>
      <w:r w:rsidRPr="00821EB5">
        <w:rPr>
          <w:rFonts w:ascii="Arial" w:hAnsi="Arial" w:cs="Arial"/>
          <w:sz w:val="24"/>
          <w:szCs w:val="24"/>
          <w:lang w:val="es-EC"/>
        </w:rPr>
        <w:t xml:space="preserve"> en crema 2 veces/día en la</w:t>
      </w:r>
      <w:r w:rsidR="009D709E"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vulva.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b) Óvulos de sábila cada 12 horas por 10 días.</w:t>
      </w:r>
    </w:p>
    <w:p w:rsidR="00821EB5" w:rsidRP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4. Alcalinizar el medio vaginal con bicarbonato o</w:t>
      </w:r>
      <w:r w:rsidR="009D709E"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biborato de sodio a 2 %.</w:t>
      </w:r>
    </w:p>
    <w:p w:rsidR="00821EB5" w:rsidRDefault="00821EB5" w:rsidP="00821EB5">
      <w:pPr>
        <w:rPr>
          <w:rFonts w:ascii="Arial" w:hAnsi="Arial" w:cs="Arial"/>
          <w:sz w:val="24"/>
          <w:szCs w:val="24"/>
          <w:lang w:val="es-EC"/>
        </w:rPr>
      </w:pPr>
      <w:r w:rsidRPr="00821EB5">
        <w:rPr>
          <w:rFonts w:ascii="Arial" w:hAnsi="Arial" w:cs="Arial"/>
          <w:sz w:val="24"/>
          <w:szCs w:val="24"/>
          <w:lang w:val="es-EC"/>
        </w:rPr>
        <w:t>5. Tratamiento a la pareja con nistatina o clotrimazol</w:t>
      </w:r>
      <w:r w:rsidR="009D709E">
        <w:rPr>
          <w:rFonts w:ascii="Arial" w:hAnsi="Arial" w:cs="Arial"/>
          <w:sz w:val="24"/>
          <w:szCs w:val="24"/>
          <w:lang w:val="es-EC"/>
        </w:rPr>
        <w:t xml:space="preserve"> </w:t>
      </w:r>
      <w:r w:rsidRPr="00821EB5">
        <w:rPr>
          <w:rFonts w:ascii="Arial" w:hAnsi="Arial" w:cs="Arial"/>
          <w:sz w:val="24"/>
          <w:szCs w:val="24"/>
          <w:lang w:val="es-EC"/>
        </w:rPr>
        <w:t>en crema por vía tópica y local.</w:t>
      </w:r>
    </w:p>
    <w:p w:rsidR="009D709E" w:rsidRPr="009D709E" w:rsidRDefault="009D709E" w:rsidP="009D709E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D709E">
        <w:rPr>
          <w:rFonts w:ascii="Arial" w:hAnsi="Arial" w:cs="Arial"/>
          <w:b/>
          <w:bCs/>
          <w:sz w:val="24"/>
          <w:szCs w:val="24"/>
          <w:lang w:val="es-EC"/>
        </w:rPr>
        <w:t>TRICOMONIASIS</w:t>
      </w:r>
    </w:p>
    <w:p w:rsidR="009D709E" w:rsidRPr="009D709E" w:rsidRDefault="009D709E" w:rsidP="009D709E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D709E">
        <w:rPr>
          <w:rFonts w:ascii="Arial" w:hAnsi="Arial" w:cs="Arial"/>
          <w:b/>
          <w:bCs/>
          <w:sz w:val="24"/>
          <w:szCs w:val="24"/>
          <w:lang w:val="es-EC"/>
        </w:rPr>
        <w:t>ETIOLOGÍA</w:t>
      </w:r>
    </w:p>
    <w:p w:rsidR="009D709E" w:rsidRDefault="009D709E" w:rsidP="009D709E">
      <w:pPr>
        <w:rPr>
          <w:rFonts w:ascii="Arial" w:hAnsi="Arial" w:cs="Arial"/>
          <w:sz w:val="24"/>
          <w:szCs w:val="24"/>
          <w:lang w:val="es-EC"/>
        </w:rPr>
      </w:pPr>
      <w:r w:rsidRPr="009D709E">
        <w:rPr>
          <w:rFonts w:ascii="Arial" w:hAnsi="Arial" w:cs="Arial"/>
          <w:sz w:val="24"/>
          <w:szCs w:val="24"/>
          <w:lang w:val="es-EC"/>
        </w:rPr>
        <w:t xml:space="preserve">Es producida por </w:t>
      </w:r>
      <w:r w:rsidRPr="009D709E">
        <w:rPr>
          <w:rFonts w:ascii="Arial" w:hAnsi="Arial" w:cs="Arial"/>
          <w:i/>
          <w:iCs/>
          <w:sz w:val="24"/>
          <w:szCs w:val="24"/>
          <w:lang w:val="es-EC"/>
        </w:rPr>
        <w:t xml:space="preserve">Trichomona vaginalis, </w:t>
      </w:r>
      <w:r w:rsidRPr="009D709E">
        <w:rPr>
          <w:rFonts w:ascii="Arial" w:hAnsi="Arial" w:cs="Arial"/>
          <w:sz w:val="24"/>
          <w:szCs w:val="24"/>
          <w:lang w:val="es-EC"/>
        </w:rPr>
        <w:t>que 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D709E">
        <w:rPr>
          <w:rFonts w:ascii="Arial" w:hAnsi="Arial" w:cs="Arial"/>
          <w:sz w:val="24"/>
          <w:szCs w:val="24"/>
          <w:lang w:val="es-EC"/>
        </w:rPr>
        <w:t>un protozoo ovoide, flagelado y móvil de 15 a 20 m de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D709E">
        <w:rPr>
          <w:rFonts w:ascii="Arial" w:hAnsi="Arial" w:cs="Arial"/>
          <w:sz w:val="24"/>
          <w:szCs w:val="24"/>
          <w:lang w:val="es-EC"/>
        </w:rPr>
        <w:t>longitud y de 8 a 10 m de ancho, aunque se describen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D709E">
        <w:rPr>
          <w:rFonts w:ascii="Arial" w:hAnsi="Arial" w:cs="Arial"/>
          <w:sz w:val="24"/>
          <w:szCs w:val="24"/>
          <w:lang w:val="es-EC"/>
        </w:rPr>
        <w:t>formas más pequeñas.</w:t>
      </w:r>
    </w:p>
    <w:p w:rsidR="009D709E" w:rsidRPr="009D709E" w:rsidRDefault="009D709E" w:rsidP="009D709E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D709E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9D709E" w:rsidRDefault="009D709E" w:rsidP="009D709E">
      <w:pPr>
        <w:rPr>
          <w:rFonts w:ascii="Arial" w:hAnsi="Arial" w:cs="Arial"/>
          <w:sz w:val="24"/>
          <w:szCs w:val="24"/>
          <w:lang w:val="es-EC"/>
        </w:rPr>
      </w:pPr>
      <w:r w:rsidRPr="009D709E">
        <w:rPr>
          <w:rFonts w:ascii="Arial" w:hAnsi="Arial" w:cs="Arial"/>
          <w:sz w:val="24"/>
          <w:szCs w:val="24"/>
          <w:lang w:val="es-EC"/>
        </w:rPr>
        <w:t>Aparece un flujo vaginal amarillo espumoso asociado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D709E">
        <w:rPr>
          <w:rFonts w:ascii="Arial" w:hAnsi="Arial" w:cs="Arial"/>
          <w:sz w:val="24"/>
          <w:szCs w:val="24"/>
          <w:lang w:val="es-EC"/>
        </w:rPr>
        <w:t>con ardor, prurito vaginal, dispareunia y a veces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D709E">
        <w:rPr>
          <w:rFonts w:ascii="Arial" w:hAnsi="Arial" w:cs="Arial"/>
          <w:sz w:val="24"/>
          <w:szCs w:val="24"/>
          <w:lang w:val="es-EC"/>
        </w:rPr>
        <w:t>fetidez</w:t>
      </w:r>
      <w:r w:rsidR="00851200">
        <w:rPr>
          <w:rFonts w:ascii="Arial" w:hAnsi="Arial" w:cs="Arial"/>
          <w:sz w:val="24"/>
          <w:szCs w:val="24"/>
          <w:lang w:val="es-EC"/>
        </w:rPr>
        <w:t>.</w:t>
      </w:r>
    </w:p>
    <w:p w:rsidR="00851200" w:rsidRPr="00851200" w:rsidRDefault="00851200" w:rsidP="00851200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Aparece un flujo vaginal amarillo espumoso asociado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con ardor, prurito vaginal, dispareunia y a veces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fetidez</w:t>
      </w:r>
      <w:r>
        <w:rPr>
          <w:rFonts w:ascii="Arial" w:hAnsi="Arial" w:cs="Arial"/>
          <w:sz w:val="24"/>
          <w:szCs w:val="24"/>
          <w:lang w:val="es-EC"/>
        </w:rPr>
        <w:t>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La vagina se encuentra enrojecida de forma difusa,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con áreas de punteado petequial en vagina y cuello,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que casi siempre es patognomónico (vagina fresa). El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meato uretral externo está congestionado y tumefacto.</w:t>
      </w:r>
    </w:p>
    <w:p w:rsidR="00851200" w:rsidRPr="00851200" w:rsidRDefault="00851200" w:rsidP="00851200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Se puede detectar por medio del exudado en fresco,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que se realiza mezclando el material del exudado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con suero fisiológico y se observa sin colorear en el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microscopio en un portaobjeto previamente calentado</w:t>
      </w:r>
      <w:r>
        <w:rPr>
          <w:rFonts w:ascii="Arial" w:hAnsi="Arial" w:cs="Arial"/>
          <w:sz w:val="24"/>
          <w:szCs w:val="24"/>
          <w:lang w:val="es-EC"/>
        </w:rPr>
        <w:t xml:space="preserve"> y cubierto por un </w:t>
      </w:r>
      <w:proofErr w:type="spellStart"/>
      <w:r>
        <w:rPr>
          <w:rFonts w:ascii="Arial" w:hAnsi="Arial" w:cs="Arial"/>
          <w:sz w:val="24"/>
          <w:szCs w:val="24"/>
          <w:lang w:val="es-EC"/>
        </w:rPr>
        <w:t>cubreobjeto</w:t>
      </w:r>
      <w:proofErr w:type="spellEnd"/>
      <w:r w:rsidRPr="00851200">
        <w:rPr>
          <w:rFonts w:ascii="Arial" w:hAnsi="Arial" w:cs="Arial"/>
          <w:sz w:val="24"/>
          <w:szCs w:val="24"/>
          <w:lang w:val="es-EC"/>
        </w:rPr>
        <w:t>. Se reconoce el parásito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en movimiento.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También puede ser hallada con la colaboración de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Papanicolaou para estudio citológico.</w:t>
      </w:r>
    </w:p>
    <w:p w:rsidR="00851200" w:rsidRPr="00851200" w:rsidRDefault="00851200" w:rsidP="00851200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lastRenderedPageBreak/>
        <w:t>Se deben tomar las medidas siguientes: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1. Aumentar la acidez de la vagina, puede usarse vinagre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diluido en partes iguales en agua o solución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de vaginol.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2. Derivados del nitroimidazol: metronidazol 1 tableta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de 250 mg 3 veces/día (desayuno, almuerzo y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comida) durante 7 días a la pareja. Durante su uso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no se debe ingerir bebidas alcohólicas ya que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inactivan la acción del medicamento y pueden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ocasionar trastornos neurológicos. Después de un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breve descanso puede repetirse el tratamiento 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casos más intensos.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3. Puede utilizarse tratamiento local con metronidazol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a 500 mg, 1 tableta vaginal cada 12 horas o clotrimazol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1 óvulo vaginal cada 12 horas asociado con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el tratamiento oral en casos recidivantes. También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 xml:space="preserve">puede usarse la </w:t>
      </w:r>
      <w:r w:rsidR="00D056EB" w:rsidRPr="00851200">
        <w:rPr>
          <w:rFonts w:ascii="Arial" w:hAnsi="Arial" w:cs="Arial"/>
          <w:sz w:val="24"/>
          <w:szCs w:val="24"/>
          <w:lang w:val="es-EC"/>
        </w:rPr>
        <w:t>dosis</w:t>
      </w:r>
      <w:r w:rsidRPr="00851200">
        <w:rPr>
          <w:rFonts w:ascii="Arial" w:hAnsi="Arial" w:cs="Arial"/>
          <w:sz w:val="24"/>
          <w:szCs w:val="24"/>
          <w:lang w:val="es-EC"/>
        </w:rPr>
        <w:t xml:space="preserve"> única de 2 g oral de metronidazol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o tinidazol en una toma o repartido en 2 tomas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en 24 horas.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4. Proscribir las relaciones sexuales durante el tratamiento.</w:t>
      </w:r>
    </w:p>
    <w:p w:rsidR="00851200" w:rsidRPr="00851200" w:rsidRDefault="00851200" w:rsidP="00851200">
      <w:pPr>
        <w:rPr>
          <w:rFonts w:ascii="Arial" w:hAnsi="Arial" w:cs="Arial"/>
          <w:b/>
          <w:bCs/>
          <w:i/>
          <w:i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i/>
          <w:iCs/>
          <w:sz w:val="24"/>
          <w:szCs w:val="24"/>
          <w:lang w:val="es-EC"/>
        </w:rPr>
        <w:t>GARDNERELLA VAGINALIS</w:t>
      </w:r>
    </w:p>
    <w:p w:rsidR="00851200" w:rsidRPr="00851200" w:rsidRDefault="00851200" w:rsidP="00851200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sz w:val="24"/>
          <w:szCs w:val="24"/>
          <w:lang w:val="es-EC"/>
        </w:rPr>
        <w:t>(</w:t>
      </w:r>
      <w:r w:rsidRPr="00851200">
        <w:rPr>
          <w:rFonts w:ascii="Arial" w:hAnsi="Arial" w:cs="Arial"/>
          <w:b/>
          <w:bCs/>
          <w:i/>
          <w:iCs/>
          <w:sz w:val="24"/>
          <w:szCs w:val="24"/>
          <w:lang w:val="es-EC"/>
        </w:rPr>
        <w:t>HAEMOPHILUS VAGINALIS</w:t>
      </w:r>
      <w:r w:rsidRPr="00851200">
        <w:rPr>
          <w:rFonts w:ascii="Arial" w:hAnsi="Arial" w:cs="Arial"/>
          <w:b/>
          <w:bCs/>
          <w:sz w:val="24"/>
          <w:szCs w:val="24"/>
          <w:lang w:val="es-EC"/>
        </w:rPr>
        <w:t>)</w:t>
      </w:r>
    </w:p>
    <w:p w:rsidR="00851200" w:rsidRPr="00851200" w:rsidRDefault="00851200" w:rsidP="00851200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sz w:val="24"/>
          <w:szCs w:val="24"/>
          <w:lang w:val="es-EC"/>
        </w:rPr>
        <w:t>ETIOLOGÍA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Son bacilos o cocobacilos Gram variables, inmóviles,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pleomorfos y aerobios.</w:t>
      </w:r>
    </w:p>
    <w:p w:rsidR="00851200" w:rsidRPr="00D056EB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Se asocian con frecuencia a otros gérmenes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 xml:space="preserve">anaerobios y constituyen la llamada </w:t>
      </w:r>
      <w:r w:rsidRPr="00851200">
        <w:rPr>
          <w:rFonts w:ascii="Arial" w:hAnsi="Arial" w:cs="Arial"/>
          <w:i/>
          <w:iCs/>
          <w:sz w:val="24"/>
          <w:szCs w:val="24"/>
          <w:lang w:val="es-EC"/>
        </w:rPr>
        <w:t>vaginosis bacteriana.</w:t>
      </w:r>
    </w:p>
    <w:p w:rsidR="00851200" w:rsidRPr="00851200" w:rsidRDefault="00851200" w:rsidP="00851200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Puede verse en forma de vaginitis asintomática o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leve, o como flujo gris maloliente, homogéneo, acompañado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de prurito e inflamación vaginal.</w:t>
      </w:r>
    </w:p>
    <w:p w:rsidR="00851200" w:rsidRPr="00851200" w:rsidRDefault="00851200" w:rsidP="00851200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i/>
          <w:iCs/>
          <w:sz w:val="24"/>
          <w:szCs w:val="24"/>
          <w:lang w:val="es-EC"/>
        </w:rPr>
        <w:t>Prueba de Aminas</w:t>
      </w:r>
      <w:r w:rsidRPr="00851200">
        <w:rPr>
          <w:rFonts w:ascii="Arial" w:hAnsi="Arial" w:cs="Arial"/>
          <w:sz w:val="24"/>
          <w:szCs w:val="24"/>
          <w:lang w:val="es-EC"/>
        </w:rPr>
        <w:t xml:space="preserve">. Olor </w:t>
      </w:r>
      <w:proofErr w:type="gramStart"/>
      <w:r w:rsidRPr="00851200">
        <w:rPr>
          <w:rFonts w:ascii="Arial" w:hAnsi="Arial" w:cs="Arial"/>
          <w:sz w:val="24"/>
          <w:szCs w:val="24"/>
          <w:lang w:val="es-EC"/>
        </w:rPr>
        <w:t>a</w:t>
      </w:r>
      <w:proofErr w:type="gramEnd"/>
      <w:r w:rsidRPr="00851200">
        <w:rPr>
          <w:rFonts w:ascii="Arial" w:hAnsi="Arial" w:cs="Arial"/>
          <w:sz w:val="24"/>
          <w:szCs w:val="24"/>
          <w:lang w:val="es-EC"/>
        </w:rPr>
        <w:t xml:space="preserve"> pescado al añadir 1 gota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de KOH a una gota de la secreción.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i/>
          <w:iCs/>
          <w:sz w:val="24"/>
          <w:szCs w:val="24"/>
          <w:lang w:val="es-EC"/>
        </w:rPr>
        <w:t>Examen directo</w:t>
      </w:r>
      <w:r w:rsidRPr="00851200">
        <w:rPr>
          <w:rFonts w:ascii="Arial" w:hAnsi="Arial" w:cs="Arial"/>
          <w:sz w:val="24"/>
          <w:szCs w:val="24"/>
          <w:lang w:val="es-EC"/>
        </w:rPr>
        <w:t>. En busca de las células guías (células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vaginales con bordes oscuros).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i/>
          <w:iCs/>
          <w:sz w:val="24"/>
          <w:szCs w:val="24"/>
          <w:lang w:val="es-EC"/>
        </w:rPr>
        <w:t>Cultivos en agar chocolate y otros medios</w:t>
      </w:r>
      <w:r w:rsidRPr="00851200">
        <w:rPr>
          <w:rFonts w:ascii="Arial" w:hAnsi="Arial" w:cs="Arial"/>
          <w:sz w:val="24"/>
          <w:szCs w:val="24"/>
          <w:lang w:val="es-EC"/>
        </w:rPr>
        <w:t>. Debe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buscarse la existencia de otras ETS (</w:t>
      </w:r>
      <w:r w:rsidR="00D056EB" w:rsidRPr="00851200">
        <w:rPr>
          <w:rFonts w:ascii="Arial" w:hAnsi="Arial" w:cs="Arial"/>
          <w:sz w:val="24"/>
          <w:szCs w:val="24"/>
          <w:lang w:val="es-EC"/>
        </w:rPr>
        <w:t>Trichomonas</w:t>
      </w:r>
      <w:r w:rsidRPr="00851200">
        <w:rPr>
          <w:rFonts w:ascii="Arial" w:hAnsi="Arial" w:cs="Arial"/>
          <w:sz w:val="24"/>
          <w:szCs w:val="24"/>
          <w:lang w:val="es-EC"/>
        </w:rPr>
        <w:t>,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gonococos y clamidias).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En la actualidad se discute la trasmisión sexual y la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necesidad de tratamiento a la pareja.</w:t>
      </w:r>
    </w:p>
    <w:p w:rsidR="00851200" w:rsidRPr="00851200" w:rsidRDefault="00851200" w:rsidP="00851200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851200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1. Metronidazol (250 mg): 1 tableta cada 8 horas por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7 días a la pareja o </w:t>
      </w:r>
      <w:r w:rsidRPr="00851200">
        <w:rPr>
          <w:rFonts w:ascii="Arial" w:hAnsi="Arial" w:cs="Arial"/>
          <w:sz w:val="24"/>
          <w:szCs w:val="24"/>
          <w:lang w:val="es-EC"/>
        </w:rPr>
        <w:t>clindamicina (300 mg) oral por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 xml:space="preserve">7 días. También </w:t>
      </w:r>
      <w:r w:rsidR="00D056EB" w:rsidRPr="00851200">
        <w:rPr>
          <w:rFonts w:ascii="Arial" w:hAnsi="Arial" w:cs="Arial"/>
          <w:sz w:val="24"/>
          <w:szCs w:val="24"/>
          <w:lang w:val="es-EC"/>
        </w:rPr>
        <w:t>es</w:t>
      </w:r>
      <w:r w:rsidRPr="00851200">
        <w:rPr>
          <w:rFonts w:ascii="Arial" w:hAnsi="Arial" w:cs="Arial"/>
          <w:sz w:val="24"/>
          <w:szCs w:val="24"/>
          <w:lang w:val="es-EC"/>
        </w:rPr>
        <w:t xml:space="preserve"> efectivos el metronidazol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lastRenderedPageBreak/>
        <w:t>(500 mg) 1 tableta vaginal cada 12 horas por 7 días y</w:t>
      </w:r>
      <w:r w:rsidR="00D056EB">
        <w:rPr>
          <w:rFonts w:ascii="Arial" w:hAnsi="Arial" w:cs="Arial"/>
          <w:sz w:val="24"/>
          <w:szCs w:val="24"/>
          <w:lang w:val="es-EC"/>
        </w:rPr>
        <w:t xml:space="preserve"> </w:t>
      </w:r>
      <w:r w:rsidRPr="00851200">
        <w:rPr>
          <w:rFonts w:ascii="Arial" w:hAnsi="Arial" w:cs="Arial"/>
          <w:sz w:val="24"/>
          <w:szCs w:val="24"/>
          <w:lang w:val="es-EC"/>
        </w:rPr>
        <w:t>la clindamicina en crema 2 veces al día por 7 días.</w:t>
      </w:r>
    </w:p>
    <w:p w:rsidR="00851200" w:rsidRP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>2. Acidificar el medio vaginal.</w:t>
      </w:r>
    </w:p>
    <w:p w:rsidR="00851200" w:rsidRDefault="00851200" w:rsidP="00851200">
      <w:pPr>
        <w:rPr>
          <w:rFonts w:ascii="Arial" w:hAnsi="Arial" w:cs="Arial"/>
          <w:sz w:val="24"/>
          <w:szCs w:val="24"/>
          <w:lang w:val="es-EC"/>
        </w:rPr>
      </w:pPr>
      <w:r w:rsidRPr="00851200">
        <w:rPr>
          <w:rFonts w:ascii="Arial" w:hAnsi="Arial" w:cs="Arial"/>
          <w:sz w:val="24"/>
          <w:szCs w:val="24"/>
          <w:lang w:val="es-EC"/>
        </w:rPr>
        <w:t xml:space="preserve">3. También puede usarse el </w:t>
      </w:r>
      <w:r w:rsidR="00D056EB" w:rsidRPr="00851200">
        <w:rPr>
          <w:rFonts w:ascii="Arial" w:hAnsi="Arial" w:cs="Arial"/>
          <w:sz w:val="24"/>
          <w:szCs w:val="24"/>
          <w:lang w:val="es-EC"/>
        </w:rPr>
        <w:t>ampicilina</w:t>
      </w:r>
      <w:r w:rsidRPr="00851200">
        <w:rPr>
          <w:rFonts w:ascii="Arial" w:hAnsi="Arial" w:cs="Arial"/>
          <w:sz w:val="24"/>
          <w:szCs w:val="24"/>
          <w:lang w:val="es-EC"/>
        </w:rPr>
        <w:t xml:space="preserve"> y las cefalosporinas.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GONORREA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ETIOLOGÍA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 xml:space="preserve">Es producida por </w:t>
      </w:r>
      <w:r w:rsidRPr="0092706F">
        <w:rPr>
          <w:rFonts w:ascii="Arial" w:hAnsi="Arial" w:cs="Arial"/>
          <w:i/>
          <w:iCs/>
          <w:sz w:val="24"/>
          <w:szCs w:val="24"/>
          <w:lang w:val="es-EC"/>
        </w:rPr>
        <w:t xml:space="preserve">Neisseria gonorrhoeae </w:t>
      </w:r>
      <w:r w:rsidRPr="0092706F">
        <w:rPr>
          <w:rFonts w:ascii="Arial" w:hAnsi="Arial" w:cs="Arial"/>
          <w:sz w:val="24"/>
          <w:szCs w:val="24"/>
          <w:lang w:val="es-EC"/>
        </w:rPr>
        <w:t>descubierta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 xml:space="preserve">por </w:t>
      </w:r>
      <w:r w:rsidRPr="0092706F">
        <w:rPr>
          <w:rFonts w:ascii="Arial" w:hAnsi="Arial" w:cs="Arial"/>
          <w:i/>
          <w:iCs/>
          <w:sz w:val="24"/>
          <w:szCs w:val="24"/>
          <w:lang w:val="es-EC"/>
        </w:rPr>
        <w:t xml:space="preserve">Neisser </w:t>
      </w:r>
      <w:r w:rsidRPr="0092706F">
        <w:rPr>
          <w:rFonts w:ascii="Arial" w:hAnsi="Arial" w:cs="Arial"/>
          <w:sz w:val="24"/>
          <w:szCs w:val="24"/>
          <w:lang w:val="es-EC"/>
        </w:rPr>
        <w:t>en 1879.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Es la ETS con mayor prevalencia en el mundo.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Puede verse en niñas y ancianas, pero es más común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en la edad reproductiva, en especial en las jóvenes promiscuas.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La autodepuración de la vagina protege en cierta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medida de esta enfermedad, y la limita más frecuentemente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a las glándulas de Bartholin,</w:t>
      </w:r>
      <w:r>
        <w:rPr>
          <w:rFonts w:ascii="Arial" w:hAnsi="Arial" w:cs="Arial"/>
          <w:sz w:val="24"/>
          <w:szCs w:val="24"/>
          <w:lang w:val="es-EC"/>
        </w:rPr>
        <w:t xml:space="preserve"> Skene y </w:t>
      </w:r>
      <w:r w:rsidRPr="0092706F">
        <w:rPr>
          <w:rFonts w:ascii="Arial" w:hAnsi="Arial" w:cs="Arial"/>
          <w:sz w:val="24"/>
          <w:szCs w:val="24"/>
          <w:lang w:val="es-EC"/>
        </w:rPr>
        <w:t>endocervicales.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Puede evolucionar asintomáticamente o producir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leucorrea amarillo-purulenta o amarillo-verdosa fétida,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acompañada de escozor y ardor vaginal. Si se propaga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a los genitales internos puede causar EIP aguda.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Se realiza por el cuadro clínico el antecedente de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coito infectante o uno de éstos. También se emplea el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exudado vaginal, endocervical, anal, uretral con coloración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de Gram, donde se demuestra la presencia de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diplococos arriñonados gramnegativos intracelulares 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50 % de los casos. Se utilizan cultivos en medios especiales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como agar chocolate y Thayer-Martin.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La forma de trasmisión fundamental es la sexual,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aunque se ha planteado contagio por fómites.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En la infección de los genitales externos o en pesquisa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se usa: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1. Probenecid a 1 g, media hora antes de inyectar</w:t>
      </w:r>
      <w:r>
        <w:rPr>
          <w:rFonts w:ascii="Arial" w:hAnsi="Arial" w:cs="Arial"/>
          <w:sz w:val="24"/>
          <w:szCs w:val="24"/>
          <w:lang w:val="es-EC"/>
        </w:rPr>
        <w:t>b</w:t>
      </w:r>
      <w:r w:rsidRPr="0092706F">
        <w:rPr>
          <w:rFonts w:ascii="Arial" w:hAnsi="Arial" w:cs="Arial"/>
          <w:sz w:val="24"/>
          <w:szCs w:val="24"/>
          <w:lang w:val="es-EC"/>
        </w:rPr>
        <w:t>2 500 000 U de penicilina rapilenta.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2. Si existe alergia puede usarse eritromicina 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500 mg cada 6 horas por 7 días o tetraciclina 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500 mg cada 6 horas por 7 días.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3. Debe tratarse a la pareja y pesquisar a los contactos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para su estudio y tratamiento.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4. Algunos han utilizado cefalosporinas de tercera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generación como: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a) Ceftriaxone a 125 mg i.m. en dosis única.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lastRenderedPageBreak/>
        <w:t>b) Cefotaxime a 400 mg i.m. en dosis única.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5. Se han empleado quinilonas como: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a) Cifrofloxacín a 500 mg i.m. en dosis única.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b) Norfloxacín a 400 mg i.m. en dosis única.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Tanto en el tratamiento con cefalosporinas como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con quinolonas se han reportado cifras satisfactorias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en los resultados.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6. Se ha sugerido usar tratamiento anticlamidias después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de tratada la gonorrea.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CLAMIDIASIS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ETIOLOGÍA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Son parásitos gramnegativos intracelulares obligados.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 xml:space="preserve">Las cepas de </w:t>
      </w:r>
      <w:r w:rsidRPr="0092706F">
        <w:rPr>
          <w:rFonts w:ascii="Arial" w:hAnsi="Arial" w:cs="Arial"/>
          <w:i/>
          <w:iCs/>
          <w:sz w:val="24"/>
          <w:szCs w:val="24"/>
          <w:lang w:val="es-EC"/>
        </w:rPr>
        <w:t xml:space="preserve">Chlamydia trachomatis </w:t>
      </w:r>
      <w:r w:rsidRPr="0092706F">
        <w:rPr>
          <w:rFonts w:ascii="Arial" w:hAnsi="Arial" w:cs="Arial"/>
          <w:sz w:val="24"/>
          <w:szCs w:val="24"/>
          <w:lang w:val="es-EC"/>
        </w:rPr>
        <w:t>(subgrupo A)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son las que infectan a los seres humanos, en especial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las que producen tracoma, linfogranuloma venéreo y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EIP. Se asocian con frecuencia a la infección por gonococo.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El 80 % de las mujeres colonizadas con clamidias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son asintomáticas o tienen leucorrea escasa de corta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duración o síntomas uretrales (disuria y polaquiuria).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Se asocia la cervicitis, a la endometritis posparto, a la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bartolinitis y a la EIP.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Se realiza por inmunofluorescencia y por cultivo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de tejidos.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1. Tetraciclina a 500 mg 4 veces/día por 7 días 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250 mg 4 veces/día por 14 días.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2. Doxiciclina a 100 mg 2 veces/día por 7 días.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3. Eritromicina a 500 mg 4 veces/día por 7 días.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4. Acitromicina 1 g oral en dosis única.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OTRAS VULVOVAGINITIS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Pueden ser producidas por cuerpos extraños en la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vagina (gasas, pesarios, etc.) que producen una leucorrea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fétida. Se resuelve con la extracción del cuerpo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extraño y antisepsia local.</w:t>
      </w:r>
    </w:p>
    <w:p w:rsidR="0092706F" w:rsidRPr="0092706F" w:rsidRDefault="0092706F" w:rsidP="0092706F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t>En el hipoestronismo, la falta de defensa vaginal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condiciona la infección por cualquier germen específico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 inespecífico.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ÚLCERAS VULVOVAGINALES</w:t>
      </w:r>
    </w:p>
    <w:p w:rsidR="0092706F" w:rsidRPr="0092706F" w:rsidRDefault="0092706F" w:rsidP="0092706F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92706F">
        <w:rPr>
          <w:rFonts w:ascii="Arial" w:hAnsi="Arial" w:cs="Arial"/>
          <w:b/>
          <w:bCs/>
          <w:sz w:val="24"/>
          <w:szCs w:val="24"/>
          <w:lang w:val="es-EC"/>
        </w:rPr>
        <w:t>SÍFILIS</w:t>
      </w:r>
    </w:p>
    <w:p w:rsidR="00105553" w:rsidRPr="00105553" w:rsidRDefault="0092706F" w:rsidP="00105553">
      <w:pPr>
        <w:rPr>
          <w:rFonts w:ascii="Arial" w:hAnsi="Arial" w:cs="Arial"/>
          <w:sz w:val="24"/>
          <w:szCs w:val="24"/>
          <w:lang w:val="es-EC"/>
        </w:rPr>
      </w:pPr>
      <w:r w:rsidRPr="0092706F">
        <w:rPr>
          <w:rFonts w:ascii="Arial" w:hAnsi="Arial" w:cs="Arial"/>
          <w:sz w:val="24"/>
          <w:szCs w:val="24"/>
          <w:lang w:val="es-EC"/>
        </w:rPr>
        <w:lastRenderedPageBreak/>
        <w:t>El chancro primario tiene forma de cráter con bordes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definidos, fondo limpio y ausencia de dolor; es poco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frecuente observarlo en la vulva, pues asienta generalmente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en la vagina y cuello uterino y desaparece al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cabo de varios días. Cuando se detecta, el examen 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 xml:space="preserve">campo oscuro encuentra el </w:t>
      </w:r>
      <w:r w:rsidRPr="0092706F">
        <w:rPr>
          <w:rFonts w:ascii="Arial" w:hAnsi="Arial" w:cs="Arial"/>
          <w:i/>
          <w:iCs/>
          <w:sz w:val="24"/>
          <w:szCs w:val="24"/>
          <w:lang w:val="es-EC"/>
        </w:rPr>
        <w:t xml:space="preserve">Treponema pallidum </w:t>
      </w:r>
      <w:r w:rsidRPr="0092706F">
        <w:rPr>
          <w:rFonts w:ascii="Arial" w:hAnsi="Arial" w:cs="Arial"/>
          <w:sz w:val="24"/>
          <w:szCs w:val="24"/>
          <w:lang w:val="es-EC"/>
        </w:rPr>
        <w:t>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espiroqueta sifilítica. Más frecuente es ver las lesiones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92706F">
        <w:rPr>
          <w:rFonts w:ascii="Arial" w:hAnsi="Arial" w:cs="Arial"/>
          <w:sz w:val="24"/>
          <w:szCs w:val="24"/>
          <w:lang w:val="es-EC"/>
        </w:rPr>
        <w:t>en forma de pápulas confluentes en la vulva conocidas</w:t>
      </w:r>
      <w:r w:rsidR="00105553">
        <w:rPr>
          <w:rFonts w:ascii="Arial" w:hAnsi="Arial" w:cs="Arial"/>
          <w:sz w:val="24"/>
          <w:szCs w:val="24"/>
          <w:lang w:val="es-EC"/>
        </w:rPr>
        <w:t xml:space="preserve"> </w:t>
      </w:r>
      <w:r w:rsidR="00105553" w:rsidRPr="00105553">
        <w:rPr>
          <w:rFonts w:ascii="Arial" w:hAnsi="Arial" w:cs="Arial"/>
          <w:sz w:val="24"/>
          <w:szCs w:val="24"/>
          <w:lang w:val="es-EC"/>
        </w:rPr>
        <w:t>como condiloma plano, que son manifestaciones de sífilis</w:t>
      </w:r>
      <w:r w:rsidR="00105553">
        <w:rPr>
          <w:rFonts w:ascii="Arial" w:hAnsi="Arial" w:cs="Arial"/>
          <w:sz w:val="24"/>
          <w:szCs w:val="24"/>
          <w:lang w:val="es-EC"/>
        </w:rPr>
        <w:t xml:space="preserve"> </w:t>
      </w:r>
      <w:r w:rsidR="00105553" w:rsidRPr="00105553">
        <w:rPr>
          <w:rFonts w:ascii="Arial" w:hAnsi="Arial" w:cs="Arial"/>
          <w:sz w:val="24"/>
          <w:szCs w:val="24"/>
          <w:lang w:val="es-EC"/>
        </w:rPr>
        <w:t>secundaria. En esta etapa la serología dará resultados</w:t>
      </w:r>
      <w:r w:rsidR="00105553">
        <w:rPr>
          <w:rFonts w:ascii="Arial" w:hAnsi="Arial" w:cs="Arial"/>
          <w:sz w:val="24"/>
          <w:szCs w:val="24"/>
          <w:lang w:val="es-EC"/>
        </w:rPr>
        <w:t xml:space="preserve"> </w:t>
      </w:r>
      <w:r w:rsidR="00105553" w:rsidRPr="00105553">
        <w:rPr>
          <w:rFonts w:ascii="Arial" w:hAnsi="Arial" w:cs="Arial"/>
          <w:sz w:val="24"/>
          <w:szCs w:val="24"/>
          <w:lang w:val="es-EC"/>
        </w:rPr>
        <w:t>positivos.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Como enfermedad de trasmisión sexual, la sífilis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tiene tendencia actual a aumentar en frecuencia, y 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su diagnóstico debe identificarse la cadena epidemiológica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de contactos para ser tratada.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1. Penicilina procaínica: 1 000 000 U diaria por 10 días.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2. Penicilina benzatínica: 2 400 000 U en primero y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quinto día.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3. Si hay alergia a la penicilina: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a) Eritromicina a 500 mg oral cada 6 horas por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14 días.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b) Doxiciclina a 100 mg oral 2 veces/día por 14 días.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Los contactos más recientes deben tratarse con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2 400 000 U de penicilina benzatínica, aun sin lesión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primaria.</w:t>
      </w:r>
    </w:p>
    <w:p w:rsid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HERPES SIMPLE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ETIOLOGÍA Y CUADRO CLÍNICO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Es una enfermedad de trasmisión sexual producida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por el virus del herpes simple tipo II. El cuadro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clínico se caracteriza por la aspiración de pequeñas y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múltiples vesículas en la vulva, perineo e introito vaginal,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son muy dolorosas y están acompañadas de adenopatías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inguinales. A veces hay fiebre, cefalea y malestar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general.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Las vesículas se rompen y se convierten en una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úlcera plana, dolorosa, que cicatriza en 7 a 10 días,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aunque puede demorarse si hay infección bacteriana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secundaria. Nuevas crisis aparecen varios meses después,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lo que convierte el proceso en crónico.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La identificación de las lesiones descritas en vulva,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vagina o cuello son suficientes. Si no se observan con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claridad, un estudio citológico de las lesiones según la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técnica de Papanicolaou demuestra las células gigantes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lastRenderedPageBreak/>
        <w:t>multinucleadas y las inclusiones intranucleares características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o una de estas dos manifestaciones.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El cultivo viral es menos asequible y los títulos de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anticuerpos en sangre no son específicos para el diagnóstico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de la crisis aguda de la enfermedad.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1. Mantener el área de las lesiones limpia y seca, uso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de analgésicos antiinflamatorios no esteroideos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(AINE).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2. Aciclovir (agente antiviral) oral y en crema para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su uso local, constituyen las pautas terapéuticas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indicadas.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3. El uso del condón para las relaciones sexuales 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también una medida recomendable.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4. En las gestantes no debe permitirse el parto transpelviano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durante la crisis.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CHANCROIDE (CHANCRO BLANDO)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ETIOLOGÍA Y CUADRO CLÍNICO</w:t>
      </w:r>
    </w:p>
    <w:p w:rsidR="00105553" w:rsidRPr="00105553" w:rsidRDefault="00105553" w:rsidP="00105553">
      <w:pPr>
        <w:rPr>
          <w:rFonts w:ascii="Arial" w:hAnsi="Arial" w:cs="Arial"/>
          <w:i/>
          <w:iCs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 xml:space="preserve">Es una ETS cuyo agente etiológico es el </w:t>
      </w:r>
      <w:r w:rsidRPr="00105553">
        <w:rPr>
          <w:rFonts w:ascii="Arial" w:hAnsi="Arial" w:cs="Arial"/>
          <w:i/>
          <w:iCs/>
          <w:sz w:val="24"/>
          <w:szCs w:val="24"/>
          <w:lang w:val="es-EC"/>
        </w:rPr>
        <w:t>Haemophilus</w:t>
      </w:r>
      <w:r>
        <w:rPr>
          <w:rFonts w:ascii="Arial" w:hAnsi="Arial" w:cs="Arial"/>
          <w:i/>
          <w:iCs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i/>
          <w:iCs/>
          <w:sz w:val="24"/>
          <w:szCs w:val="24"/>
          <w:lang w:val="es-EC"/>
        </w:rPr>
        <w:t>ducreyi</w:t>
      </w:r>
      <w:r w:rsidRPr="00105553">
        <w:rPr>
          <w:rFonts w:ascii="Arial" w:hAnsi="Arial" w:cs="Arial"/>
          <w:sz w:val="24"/>
          <w:szCs w:val="24"/>
          <w:lang w:val="es-EC"/>
        </w:rPr>
        <w:t>. Comienza con una pequeña pápula o</w:t>
      </w:r>
      <w:r>
        <w:rPr>
          <w:rFonts w:ascii="Arial" w:hAnsi="Arial" w:cs="Arial"/>
          <w:i/>
          <w:iCs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pústula dolorosa que rápidamente se convierte en una</w:t>
      </w:r>
      <w:r>
        <w:rPr>
          <w:rFonts w:ascii="Arial" w:hAnsi="Arial" w:cs="Arial"/>
          <w:i/>
          <w:iCs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úlcera blanda de fondo sucio y doloroso. La adenitis</w:t>
      </w:r>
      <w:r>
        <w:rPr>
          <w:rFonts w:ascii="Arial" w:hAnsi="Arial" w:cs="Arial"/>
          <w:i/>
          <w:iCs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inguinal es común.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Además del cuadro clínico descrito se puede encontrar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el germen causal en exudado o raspado de la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lesión con coloración de Gram.</w:t>
      </w:r>
    </w:p>
    <w:p w:rsid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Se puede emplear eritromicina o tetraciclina 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500 mg oral cada 6 horas durante 7 a 10 días 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Ceftriaxone a 250 mg i.m. como dosis única, unido a la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cura local con solución antiséptica.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GRANULOMA INGUINAL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Es una ETS menos frecuente en nuestro medio.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Aparece como pequeñas úlceras en vulva y perineo,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acompañadas de aumento doloroso e inflamatorio de</w:t>
      </w:r>
      <w:r w:rsidRPr="00105553">
        <w:rPr>
          <w:rFonts w:ascii="Times New Roman" w:hAnsi="Times New Roman" w:cs="Times New Roman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los ganglios inguinales, que poco después supuran.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El agente causal es una bacteria grampositivo, que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se observa en toma directa con coloración de Gram 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forma de inclusión citoplasmática, conocida como "cuerpos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de Donovan" y que son patognomónicos de esta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entidad.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lastRenderedPageBreak/>
        <w:t>TRATAMIENTO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1. Eritromicina o tetraciclina a 500 mg oral cada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6 horas por 14 días.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2. Doxiciclina a 100 mg 2 veces/día por 14 días.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LINFOGRANULOMA VENÉREO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ETIOLOGÍA Y CUADRO CLÍNICO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Es una ETS producida por una variedad de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i/>
          <w:iCs/>
          <w:sz w:val="24"/>
          <w:szCs w:val="24"/>
          <w:lang w:val="es-EC"/>
        </w:rPr>
        <w:t>Chlamydia trachomatis</w:t>
      </w:r>
      <w:r w:rsidRPr="00105553">
        <w:rPr>
          <w:rFonts w:ascii="Arial" w:hAnsi="Arial" w:cs="Arial"/>
          <w:sz w:val="24"/>
          <w:szCs w:val="24"/>
          <w:lang w:val="es-EC"/>
        </w:rPr>
        <w:t>. A partir de una úlcera dolorosa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que desaparece rápidamente, aparecen alteraciones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hipertróficas, linfedemas y fístulas en los vasos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linfáticos inguinales, con retracción de la piel del área.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A veces hay fiebre y malestar general.</w:t>
      </w:r>
    </w:p>
    <w:p w:rsid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En algunos casos puede desarrollarse un carcinoma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sobre un granuloma previo.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El cuadro clínico descrito más el cultivo de tejidos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o reacciones antigénicas (reacción del complemento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 xml:space="preserve">para clamidias) </w:t>
      </w:r>
      <w:proofErr w:type="gramStart"/>
      <w:r w:rsidRPr="00105553">
        <w:rPr>
          <w:rFonts w:ascii="Arial" w:hAnsi="Arial" w:cs="Arial"/>
          <w:sz w:val="24"/>
          <w:szCs w:val="24"/>
          <w:lang w:val="es-EC"/>
        </w:rPr>
        <w:t>esclarecen</w:t>
      </w:r>
      <w:proofErr w:type="gramEnd"/>
      <w:r w:rsidRPr="00105553">
        <w:rPr>
          <w:rFonts w:ascii="Arial" w:hAnsi="Arial" w:cs="Arial"/>
          <w:sz w:val="24"/>
          <w:szCs w:val="24"/>
          <w:lang w:val="es-EC"/>
        </w:rPr>
        <w:t xml:space="preserve"> el diagnóstico del germen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causal.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1. Doxiciclina a 250 mg oral cada 12 horas por 14 días.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2. Eritromicina o tetraciclina a 500 mg oral cada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6 horas por 14 días.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Otras úlceras que pueden aparecer en la vulva o el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 xml:space="preserve">introito vaginal son: úlceras de </w:t>
      </w:r>
      <w:proofErr w:type="spellStart"/>
      <w:r w:rsidRPr="00105553">
        <w:rPr>
          <w:rFonts w:ascii="Arial" w:hAnsi="Arial" w:cs="Arial"/>
          <w:sz w:val="24"/>
          <w:szCs w:val="24"/>
          <w:lang w:val="es-EC"/>
        </w:rPr>
        <w:t>Behcet</w:t>
      </w:r>
      <w:proofErr w:type="spellEnd"/>
      <w:r w:rsidRPr="00105553">
        <w:rPr>
          <w:rFonts w:ascii="Arial" w:hAnsi="Arial" w:cs="Arial"/>
          <w:sz w:val="24"/>
          <w:szCs w:val="24"/>
          <w:lang w:val="es-EC"/>
        </w:rPr>
        <w:t xml:space="preserve">, de </w:t>
      </w:r>
      <w:proofErr w:type="spellStart"/>
      <w:r w:rsidRPr="00105553">
        <w:rPr>
          <w:rFonts w:ascii="Arial" w:hAnsi="Arial" w:cs="Arial"/>
          <w:sz w:val="24"/>
          <w:szCs w:val="24"/>
          <w:lang w:val="es-EC"/>
        </w:rPr>
        <w:t>Lipschütz</w:t>
      </w:r>
      <w:proofErr w:type="spellEnd"/>
      <w:r w:rsidRPr="00105553">
        <w:rPr>
          <w:rFonts w:ascii="Arial" w:hAnsi="Arial" w:cs="Arial"/>
          <w:sz w:val="24"/>
          <w:szCs w:val="24"/>
          <w:lang w:val="es-EC"/>
        </w:rPr>
        <w:t xml:space="preserve"> 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 xml:space="preserve">úlceras de </w:t>
      </w:r>
      <w:proofErr w:type="spellStart"/>
      <w:r w:rsidRPr="00105553">
        <w:rPr>
          <w:rFonts w:ascii="Arial" w:hAnsi="Arial" w:cs="Arial"/>
          <w:sz w:val="24"/>
          <w:szCs w:val="24"/>
          <w:lang w:val="es-EC"/>
        </w:rPr>
        <w:t>Crhon</w:t>
      </w:r>
      <w:proofErr w:type="spellEnd"/>
      <w:r w:rsidRPr="00105553">
        <w:rPr>
          <w:rFonts w:ascii="Arial" w:hAnsi="Arial" w:cs="Arial"/>
          <w:sz w:val="24"/>
          <w:szCs w:val="24"/>
          <w:lang w:val="es-EC"/>
        </w:rPr>
        <w:t>. Sólo producen ligeras molestias locales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y responden bien al tratamiento con antisépticos.</w:t>
      </w:r>
    </w:p>
    <w:p w:rsidR="00105553" w:rsidRPr="00105553" w:rsidRDefault="00105553" w:rsidP="00105553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Aunque tienen poca importancia clínica deben ser diferenciadas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del cáncer de vulva</w:t>
      </w:r>
      <w:r w:rsidRPr="00105553">
        <w:rPr>
          <w:rFonts w:ascii="Times New Roman" w:hAnsi="Times New Roman" w:cs="Times New Roman"/>
          <w:b/>
          <w:bCs/>
          <w:sz w:val="28"/>
          <w:szCs w:val="28"/>
          <w:lang w:val="es-EC"/>
        </w:rPr>
        <w:t xml:space="preserve"> </w:t>
      </w:r>
      <w:r w:rsidRPr="00105553">
        <w:rPr>
          <w:rFonts w:ascii="Arial" w:hAnsi="Arial" w:cs="Arial"/>
          <w:b/>
          <w:bCs/>
          <w:sz w:val="24"/>
          <w:szCs w:val="24"/>
          <w:lang w:val="es-EC"/>
        </w:rPr>
        <w:t>DERMATOSIS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Pueden ser producidas por agentes físicos (calor,</w:t>
      </w:r>
      <w:r w:rsidR="005F25ED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ropas ajustadas), químicos (orina, perfumes, talcos, jabones,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etc.) o parásitos (oxiuros).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El cuadro clínico típico es la vulvitis, enrojecimiento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con edema y prurito local. El tratamiento se dirige 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suprimir el agente causal o tratar los parásitos y, además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usar sustancias refrescantes (manzanilla en fomentos),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antihistamínicos orales y en algunos casos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corticoide local en crema.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>Otras variedades de dermatosis son: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 xml:space="preserve">1. </w:t>
      </w:r>
      <w:r w:rsidRPr="00105553">
        <w:rPr>
          <w:rFonts w:ascii="Arial" w:hAnsi="Arial" w:cs="Arial"/>
          <w:i/>
          <w:iCs/>
          <w:sz w:val="24"/>
          <w:szCs w:val="24"/>
          <w:lang w:val="es-EC"/>
        </w:rPr>
        <w:t xml:space="preserve">Vitíligo: </w:t>
      </w:r>
      <w:r w:rsidRPr="00105553">
        <w:rPr>
          <w:rFonts w:ascii="Arial" w:hAnsi="Arial" w:cs="Arial"/>
          <w:sz w:val="24"/>
          <w:szCs w:val="24"/>
          <w:lang w:val="es-EC"/>
        </w:rPr>
        <w:t>es la pérdida de pigmento cutáneo. Se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asocia con el mismo cuadro en otras partes del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cuerpo y es de manejo dermatológico.</w:t>
      </w:r>
    </w:p>
    <w:p w:rsidR="00105553" w:rsidRP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 xml:space="preserve">2. </w:t>
      </w:r>
      <w:r w:rsidRPr="00105553">
        <w:rPr>
          <w:rFonts w:ascii="Arial" w:hAnsi="Arial" w:cs="Arial"/>
          <w:i/>
          <w:iCs/>
          <w:sz w:val="24"/>
          <w:szCs w:val="24"/>
          <w:lang w:val="es-EC"/>
        </w:rPr>
        <w:t xml:space="preserve">Intertrigo: </w:t>
      </w:r>
      <w:r w:rsidRPr="00105553">
        <w:rPr>
          <w:rFonts w:ascii="Arial" w:hAnsi="Arial" w:cs="Arial"/>
          <w:sz w:val="24"/>
          <w:szCs w:val="24"/>
          <w:lang w:val="es-EC"/>
        </w:rPr>
        <w:t>es un espesamiento de la piel interlabial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y crural con cambio de coloración oscura. Se acompaña</w:t>
      </w:r>
      <w:r w:rsidR="00C95F86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de prurito y es debida a la irritación crónica</w:t>
      </w:r>
      <w:r w:rsidR="00C95F86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 xml:space="preserve">de </w:t>
      </w:r>
      <w:r w:rsidRPr="00105553">
        <w:rPr>
          <w:rFonts w:ascii="Arial" w:hAnsi="Arial" w:cs="Arial"/>
          <w:sz w:val="24"/>
          <w:szCs w:val="24"/>
          <w:lang w:val="es-EC"/>
        </w:rPr>
        <w:lastRenderedPageBreak/>
        <w:t>la piel por diversas sustancias. El tratamiento</w:t>
      </w:r>
      <w:r w:rsidR="00C95F86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es igual al de las causas irritativas. La nistatina o el</w:t>
      </w:r>
      <w:r w:rsidR="00C95F86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clotrimazol en crema pueden ayudar al tratamiento.</w:t>
      </w:r>
    </w:p>
    <w:p w:rsidR="00105553" w:rsidRDefault="00105553" w:rsidP="00105553">
      <w:pPr>
        <w:rPr>
          <w:rFonts w:ascii="Arial" w:hAnsi="Arial" w:cs="Arial"/>
          <w:sz w:val="24"/>
          <w:szCs w:val="24"/>
          <w:lang w:val="es-EC"/>
        </w:rPr>
      </w:pPr>
      <w:r w:rsidRPr="00105553">
        <w:rPr>
          <w:rFonts w:ascii="Arial" w:hAnsi="Arial" w:cs="Arial"/>
          <w:sz w:val="24"/>
          <w:szCs w:val="24"/>
          <w:lang w:val="es-EC"/>
        </w:rPr>
        <w:t xml:space="preserve">3. </w:t>
      </w:r>
      <w:proofErr w:type="spellStart"/>
      <w:r w:rsidRPr="00105553">
        <w:rPr>
          <w:rFonts w:ascii="Arial" w:hAnsi="Arial" w:cs="Arial"/>
          <w:i/>
          <w:iCs/>
          <w:sz w:val="24"/>
          <w:szCs w:val="24"/>
          <w:lang w:val="es-EC"/>
        </w:rPr>
        <w:t>Foliculitis</w:t>
      </w:r>
      <w:proofErr w:type="spellEnd"/>
      <w:r w:rsidRPr="00105553">
        <w:rPr>
          <w:rFonts w:ascii="Arial" w:hAnsi="Arial" w:cs="Arial"/>
          <w:i/>
          <w:iCs/>
          <w:sz w:val="24"/>
          <w:szCs w:val="24"/>
          <w:lang w:val="es-EC"/>
        </w:rPr>
        <w:t xml:space="preserve">: </w:t>
      </w:r>
      <w:r w:rsidRPr="00105553">
        <w:rPr>
          <w:rFonts w:ascii="Arial" w:hAnsi="Arial" w:cs="Arial"/>
          <w:sz w:val="24"/>
          <w:szCs w:val="24"/>
          <w:lang w:val="es-EC"/>
        </w:rPr>
        <w:t>es la inflamación de los folículos pilosos</w:t>
      </w:r>
      <w:r w:rsidR="00C95F86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o sebáceos de fácil identificación en la piel de</w:t>
      </w:r>
      <w:r w:rsidR="00C95F86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la vulva. El tratamiento se dirige a la evacuación</w:t>
      </w:r>
      <w:r w:rsidR="00C95F86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del folículo, cura local y ocasionalmente antibiótico</w:t>
      </w:r>
      <w:r w:rsidR="00C95F86">
        <w:rPr>
          <w:rFonts w:ascii="Arial" w:hAnsi="Arial" w:cs="Arial"/>
          <w:sz w:val="24"/>
          <w:szCs w:val="24"/>
          <w:lang w:val="es-EC"/>
        </w:rPr>
        <w:t xml:space="preserve"> </w:t>
      </w:r>
      <w:r w:rsidRPr="00105553">
        <w:rPr>
          <w:rFonts w:ascii="Arial" w:hAnsi="Arial" w:cs="Arial"/>
          <w:sz w:val="24"/>
          <w:szCs w:val="24"/>
          <w:lang w:val="es-EC"/>
        </w:rPr>
        <w:t>sistémico</w:t>
      </w:r>
      <w:proofErr w:type="gramStart"/>
      <w:r w:rsidRPr="00105553">
        <w:rPr>
          <w:rFonts w:ascii="Arial" w:hAnsi="Arial" w:cs="Arial"/>
          <w:sz w:val="24"/>
          <w:szCs w:val="24"/>
          <w:lang w:val="es-EC"/>
        </w:rPr>
        <w:t>..</w:t>
      </w:r>
      <w:proofErr w:type="gramEnd"/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TUMORES BENIGNOS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CONDILOMAS ACUMINADOS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ETIOLOGÍA Y CUADRO CLÍNICO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Son verrugas venéreas de causa viral producida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por el papilomavirus humano (Papovirus). Se presentan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en forma de coliflor, más frecuentes en la parte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posterior de los labios mayores y en la horquilla perineal,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así como en las paredes de la vagina y el cérvix</w:t>
      </w:r>
      <w:r>
        <w:rPr>
          <w:rFonts w:ascii="Arial" w:hAnsi="Arial" w:cs="Arial"/>
          <w:sz w:val="24"/>
          <w:szCs w:val="24"/>
          <w:lang w:val="es-EC"/>
        </w:rPr>
        <w:t xml:space="preserve">. </w:t>
      </w:r>
      <w:r w:rsidRPr="00C95F86">
        <w:rPr>
          <w:rFonts w:ascii="Arial" w:hAnsi="Arial" w:cs="Arial"/>
          <w:sz w:val="24"/>
          <w:szCs w:val="24"/>
          <w:lang w:val="es-EC"/>
        </w:rPr>
        <w:t>Cuando la lesión se infecta secundariamente se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acompaña de un flujo abundante fétido, con prurito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vulvar, dispareunia (en dependencia del tamaño de las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coliflores) y molestias para la marcha. Su frecuencia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es más marcada durante el embarazo, por lo que tiene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un cierto grado de hormono dependencia.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1. Tintura de podofilino a 25 %: se aplica semanalmente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en las lesiones teniendo cuidado con el tejido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sano. Es citotóxico, por lo que no debe utilizarse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en el primer trimestre del embarazo.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2. Ácido tricloroacético: se aplica en igual forma que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el anterior.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3. Aplicación de fluoracilo tópico 3 veces/semana.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4. Pomada de interferón.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5. Criocirugía.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6. Electrofulguración cuando son pequeños.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7. Extirpación quirúrgica cuando son grandes masas.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QUISTES DE GARTNER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Tienen su origen en los restos de los conductos de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Wolff en la vagina, son de tamaño variable y se localizan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en la pared anterolateral de la vagina, desde el cuello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hasta la región de la uretra y el clítoris. Habitualmente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son pequeños y múltiples, pero pueden alcanzar el tamaño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 xml:space="preserve">de una cabeza fetal. Su contenido líquido </w:t>
      </w:r>
      <w:proofErr w:type="spellStart"/>
      <w:r w:rsidRPr="00C95F86">
        <w:rPr>
          <w:rFonts w:ascii="Arial" w:hAnsi="Arial" w:cs="Arial"/>
          <w:sz w:val="24"/>
          <w:szCs w:val="24"/>
          <w:lang w:val="es-EC"/>
        </w:rPr>
        <w:t>carecede</w:t>
      </w:r>
      <w:proofErr w:type="spellEnd"/>
      <w:r w:rsidRPr="00C95F86">
        <w:rPr>
          <w:rFonts w:ascii="Arial" w:hAnsi="Arial" w:cs="Arial"/>
          <w:sz w:val="24"/>
          <w:szCs w:val="24"/>
          <w:lang w:val="es-EC"/>
        </w:rPr>
        <w:t xml:space="preserve"> mucina (fig. 27.7).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Los pequeños son asintomáticos, los grandes producen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dispareunia, infertilidad o sensación de plenitud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en la vagina.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Se diferencian del cistocele y uretrocele porque no</w:t>
      </w:r>
      <w:r>
        <w:rPr>
          <w:rFonts w:ascii="Arial" w:hAnsi="Arial" w:cs="Arial"/>
          <w:sz w:val="24"/>
          <w:szCs w:val="24"/>
          <w:lang w:val="es-EC"/>
        </w:rPr>
        <w:t xml:space="preserve"> se deprimen a la palpación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lastRenderedPageBreak/>
        <w:t>TRATAMIENTO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Si es pequeño y asintomático puede mantenerse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conducta expectante. Si es grande y sintomático, o uno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de éstos, se realiza tratamiento quirúrgico.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QUISTES DE LOS TÚBULOS DE SKENE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(PARAURETRALES)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Se forman cuando los poros de estas estructuras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se bloquean por infección previa; son pequeñas tumefacciones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ubicadas en la parte inferior de la pared anterior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de la vagina. Pueden infectarse y producir un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absceso periuretral.</w:t>
      </w:r>
    </w:p>
    <w:p w:rsid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El tratamiento es quirúrgico y escisión.</w:t>
      </w:r>
    </w:p>
    <w:p w:rsid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TUMORES DE LA GLÁNDULA DE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BARTHOLIN. ABSCESOS Y QUISTES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Comúnmente aparecen como una inflamación de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la glándula de Bartholin, localizada en el tercio posterior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de los labios mayores, muy común en la edad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reproductiva, con mayor frecuencia en la izquierda, muy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raramente bilateral (fig. 27.8).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El proceso inflamatorio de esta glándula es recidivante,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y con frecuencia da lugar a quistes de retención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ETIOLOGÍA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Generalmente el germen causal es el gonococo,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aunque también pueden ser otros cocos, bacilos y gérmenes.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CUADRO CLÍNICO</w:t>
      </w:r>
    </w:p>
    <w:p w:rsidR="00105553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En la fase aguda los principales síntomas son dolor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intenso por distensión de la glándula que puede aumentar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considerablemente de volumen, calor y se enrojece.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Cuando el pus se ha coleccionado es fluctuante a la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palpación. Aparece dificultad a la marcha (la paciente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deambula con las piernas separadas) e imposibilita el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coito.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En la fase crónica la única manifestación de la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enfermedad puede consistir en un abultamiento de la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glándula.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DIAGNÓSTICO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Es eminentemente clínico. En la fase aguda se realiza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 xml:space="preserve">por la aparición de los signos de inflamación de </w:t>
      </w:r>
      <w:r w:rsidR="00862BB8" w:rsidRPr="00C95F86">
        <w:rPr>
          <w:rFonts w:ascii="Arial" w:hAnsi="Arial" w:cs="Arial"/>
          <w:sz w:val="24"/>
          <w:szCs w:val="24"/>
          <w:lang w:val="es-EC"/>
        </w:rPr>
        <w:t>la</w:t>
      </w:r>
      <w:r w:rsidR="00862BB8">
        <w:rPr>
          <w:rFonts w:ascii="Arial" w:hAnsi="Arial" w:cs="Arial"/>
          <w:sz w:val="24"/>
          <w:szCs w:val="24"/>
          <w:lang w:val="es-EC"/>
        </w:rPr>
        <w:t xml:space="preserve"> glándula ante</w:t>
      </w:r>
      <w:r w:rsidR="00862BB8" w:rsidRPr="00C95F86">
        <w:rPr>
          <w:rFonts w:ascii="Arial" w:hAnsi="Arial" w:cs="Arial"/>
          <w:sz w:val="24"/>
          <w:szCs w:val="24"/>
          <w:lang w:val="es-EC"/>
        </w:rPr>
        <w:t xml:space="preserve"> descrita</w:t>
      </w:r>
      <w:r w:rsidRPr="00C95F86">
        <w:rPr>
          <w:rFonts w:ascii="Arial" w:hAnsi="Arial" w:cs="Arial"/>
          <w:sz w:val="24"/>
          <w:szCs w:val="24"/>
          <w:lang w:val="es-EC"/>
        </w:rPr>
        <w:t>, y en la crónica por la aparición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del tumor o el quiste.</w:t>
      </w:r>
    </w:p>
    <w:p w:rsidR="00C95F86" w:rsidRPr="00C95F86" w:rsidRDefault="00C95F86" w:rsidP="00C95F86">
      <w:pPr>
        <w:rPr>
          <w:rFonts w:ascii="Arial" w:hAnsi="Arial" w:cs="Arial"/>
          <w:b/>
          <w:bCs/>
          <w:sz w:val="24"/>
          <w:szCs w:val="24"/>
          <w:lang w:val="es-EC"/>
        </w:rPr>
      </w:pPr>
      <w:r w:rsidRPr="00C95F86">
        <w:rPr>
          <w:rFonts w:ascii="Arial" w:hAnsi="Arial" w:cs="Arial"/>
          <w:b/>
          <w:bCs/>
          <w:sz w:val="24"/>
          <w:szCs w:val="24"/>
          <w:lang w:val="es-EC"/>
        </w:rPr>
        <w:t>TRATAMIENTO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En la fase aguda se recomienda reposo, analgésico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y aplicación de fomentos tibios y antibioticoterapia,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preferiblemente penicilina o tetraciclina.</w:t>
      </w:r>
    </w:p>
    <w:p w:rsidR="00C95F86" w:rsidRPr="00C95F86" w:rsidRDefault="00C95F86" w:rsidP="00C95F86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lastRenderedPageBreak/>
        <w:t>Cuando el pus ha coleccionado, se realiza incisión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y drenaje de la glándula, aunque es preferible realizar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marsupialización (técnica en la que se suturan las paredes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del quiste a los labios de la herida, de manera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que una vez abierto y vaciado el quiste, queda una bolsa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semejante a los que poseen los marsupiales y deja</w:t>
      </w:r>
      <w:r>
        <w:rPr>
          <w:rFonts w:ascii="Arial" w:hAnsi="Arial" w:cs="Arial"/>
          <w:sz w:val="24"/>
          <w:szCs w:val="24"/>
          <w:lang w:val="es-EC"/>
        </w:rPr>
        <w:t xml:space="preserve"> </w:t>
      </w:r>
      <w:r w:rsidRPr="00C95F86">
        <w:rPr>
          <w:rFonts w:ascii="Arial" w:hAnsi="Arial" w:cs="Arial"/>
          <w:sz w:val="24"/>
          <w:szCs w:val="24"/>
          <w:lang w:val="es-EC"/>
        </w:rPr>
        <w:t>permeable la glándula y evita la recidiva.</w:t>
      </w:r>
    </w:p>
    <w:p w:rsidR="00C95F86" w:rsidRPr="00105553" w:rsidRDefault="00C95F86" w:rsidP="00862BB8">
      <w:pPr>
        <w:rPr>
          <w:rFonts w:ascii="Arial" w:hAnsi="Arial" w:cs="Arial"/>
          <w:sz w:val="24"/>
          <w:szCs w:val="24"/>
          <w:lang w:val="es-EC"/>
        </w:rPr>
      </w:pPr>
      <w:r w:rsidRPr="00C95F86">
        <w:rPr>
          <w:rFonts w:ascii="Arial" w:hAnsi="Arial" w:cs="Arial"/>
          <w:sz w:val="24"/>
          <w:szCs w:val="24"/>
          <w:lang w:val="es-EC"/>
        </w:rPr>
        <w:t>En la fase crón</w:t>
      </w:r>
      <w:r w:rsidR="00862BB8">
        <w:rPr>
          <w:rFonts w:ascii="Arial" w:hAnsi="Arial" w:cs="Arial"/>
          <w:sz w:val="24"/>
          <w:szCs w:val="24"/>
          <w:lang w:val="es-EC"/>
        </w:rPr>
        <w:t xml:space="preserve">ica o en la de quiste puede  realizarse </w:t>
      </w:r>
      <w:r w:rsidR="00862BB8" w:rsidRPr="00862BB8">
        <w:rPr>
          <w:rFonts w:ascii="Arial" w:hAnsi="Arial" w:cs="Arial"/>
          <w:sz w:val="24"/>
          <w:szCs w:val="24"/>
          <w:lang w:val="es-EC"/>
        </w:rPr>
        <w:t>marsupialización o exéresis de la glándula.</w:t>
      </w:r>
    </w:p>
    <w:p w:rsidR="00105553" w:rsidRPr="00821EB5" w:rsidRDefault="00105553" w:rsidP="0092706F">
      <w:pPr>
        <w:rPr>
          <w:rFonts w:ascii="Arial" w:hAnsi="Arial" w:cs="Arial"/>
          <w:sz w:val="24"/>
          <w:szCs w:val="24"/>
          <w:lang w:val="es-EC"/>
        </w:rPr>
      </w:pPr>
    </w:p>
    <w:sectPr w:rsidR="00105553" w:rsidRPr="0082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D77AC"/>
    <w:multiLevelType w:val="hybridMultilevel"/>
    <w:tmpl w:val="BE72C7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BF"/>
    <w:rsid w:val="00105553"/>
    <w:rsid w:val="002C17BF"/>
    <w:rsid w:val="003C28F2"/>
    <w:rsid w:val="005F25ED"/>
    <w:rsid w:val="00710860"/>
    <w:rsid w:val="007D75A2"/>
    <w:rsid w:val="00821EB5"/>
    <w:rsid w:val="00851200"/>
    <w:rsid w:val="00862BB8"/>
    <w:rsid w:val="008B0FAF"/>
    <w:rsid w:val="008F1F69"/>
    <w:rsid w:val="0092706F"/>
    <w:rsid w:val="009D709E"/>
    <w:rsid w:val="00C95F86"/>
    <w:rsid w:val="00D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29A6B0-4A29-4FDD-8099-A6754DB2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AF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1EB5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3054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2017-01-16T22:14:00Z</dcterms:created>
  <dcterms:modified xsi:type="dcterms:W3CDTF">2017-01-17T02:10:00Z</dcterms:modified>
</cp:coreProperties>
</file>